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Facture n°…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Entreprise + Logo                                                           Votre client                                             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Dénomination sociale ou nom et prénom                       Nom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Adresse                                                                          Adresse                                               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Code Postal + Ville                                                         Code Postal + Ville                                                                   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N° SIREN                                                                       Numéro de téléphone                                                        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Numéro de téléphone                                                     E-mail   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E-mail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RCS (si concerné)                                                        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Date de la facture 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Date de livraison 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Echéance de paiement 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Désignation </w:t>
            </w:r>
            <w:r w:rsidDel="00000000" w:rsidR="00000000" w:rsidRPr="00000000">
              <w:rPr>
                <w:rtl w:val="0"/>
              </w:rPr>
              <w:t xml:space="preserve">(titre de la prestation + description)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Prix unitaire 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015.0" w:type="dxa"/>
        <w:jc w:val="left"/>
        <w:tblInd w:w="60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tblGridChange w:id="0">
          <w:tblGrid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HT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TVA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TTC :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*Assurance RC Pro (si applicable)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*Assurance décennale (si applicable)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*Membre d'une association agréée, le règlement par chèque et carte bancaire est accepté (si applicable)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Date de règlement 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Date d’exécution 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Taux de pénalité à compter du 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Aucun escompte consenti pour règlement anticipé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Informations complémentaires (BIC, IBAN)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